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1D77" w:rsidRDefault="00DC05B0" w:rsidP="00290B55">
      <w:pPr>
        <w:pStyle w:val="Heading110"/>
        <w:shd w:val="clear" w:color="auto" w:fill="auto"/>
        <w:spacing w:after="120" w:line="276" w:lineRule="auto"/>
        <w:rPr>
          <w:color w:val="000000"/>
        </w:rPr>
      </w:pPr>
      <w:bookmarkStart w:id="0" w:name="bookmark0"/>
      <w:r>
        <w:rPr>
          <w:color w:val="000000"/>
        </w:rPr>
        <w:t>Simulacija djelovanja u području klime: razvijene zemlje</w:t>
      </w:r>
      <w:bookmarkEnd w:id="0"/>
    </w:p>
    <w:tbl>
      <w:tblPr>
        <w:tblStyle w:val="TableGrid"/>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60"/>
        <w:gridCol w:w="1134"/>
        <w:gridCol w:w="5953"/>
      </w:tblGrid>
      <w:tr w:rsidR="004D0CFD" w:rsidTr="00290B55">
        <w:trPr>
          <w:trHeight w:val="725"/>
        </w:trPr>
        <w:tc>
          <w:tcPr>
            <w:tcW w:w="2660" w:type="dxa"/>
            <w:vMerge w:val="restart"/>
          </w:tcPr>
          <w:p w:rsidR="004D0CFD" w:rsidRPr="00290B55" w:rsidRDefault="0091067F" w:rsidP="004D0CFD">
            <w:pPr>
              <w:rPr>
                <w:sz w:val="16"/>
                <w:szCs w:val="16"/>
              </w:rPr>
            </w:pPr>
            <w:r>
              <w:rPr>
                <w:noProof/>
                <w:sz w:val="16"/>
                <w:szCs w:val="16"/>
                <w:lang w:val="en-GB" w:eastAsia="en-GB"/>
              </w:rPr>
              <w:drawing>
                <wp:anchor distT="0" distB="0" distL="63500" distR="63500" simplePos="0" relativeHeight="377491201" behindDoc="1" locked="0" layoutInCell="1" allowOverlap="1" wp14:anchorId="48386D96" wp14:editId="37D0F14E">
                  <wp:simplePos x="0" y="0"/>
                  <wp:positionH relativeFrom="margin">
                    <wp:posOffset>-13970</wp:posOffset>
                  </wp:positionH>
                  <wp:positionV relativeFrom="paragraph">
                    <wp:posOffset>40640</wp:posOffset>
                  </wp:positionV>
                  <wp:extent cx="1615440" cy="871855"/>
                  <wp:effectExtent l="0" t="0" r="3810" b="4445"/>
                  <wp:wrapSquare wrapText="bothSides"/>
                  <wp:docPr id="6" name="Picture 6"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5440" cy="871855"/>
                          </a:xfrm>
                          <a:prstGeom prst="rect">
                            <a:avLst/>
                          </a:prstGeom>
                          <a:noFill/>
                        </pic:spPr>
                      </pic:pic>
                    </a:graphicData>
                  </a:graphic>
                  <wp14:sizeRelH relativeFrom="page">
                    <wp14:pctWidth>0</wp14:pctWidth>
                  </wp14:sizeRelH>
                  <wp14:sizeRelV relativeFrom="page">
                    <wp14:pctHeight>0</wp14:pctHeight>
                  </wp14:sizeRelV>
                </wp:anchor>
              </w:drawing>
            </w:r>
          </w:p>
        </w:tc>
        <w:tc>
          <w:tcPr>
            <w:tcW w:w="1134" w:type="dxa"/>
          </w:tcPr>
          <w:p w:rsidR="004D0CFD" w:rsidRPr="00290B55" w:rsidRDefault="004D0CFD" w:rsidP="00290B55">
            <w:pPr>
              <w:spacing w:before="120"/>
              <w:rPr>
                <w:b/>
              </w:rPr>
            </w:pPr>
            <w:r>
              <w:rPr>
                <w:b/>
                <w:color w:val="000000"/>
              </w:rPr>
              <w:t xml:space="preserve">Pripremljeno za: </w:t>
            </w:r>
          </w:p>
        </w:tc>
        <w:tc>
          <w:tcPr>
            <w:tcW w:w="5953" w:type="dxa"/>
          </w:tcPr>
          <w:p w:rsidR="004D0CFD" w:rsidRPr="00290B55" w:rsidRDefault="004D0CFD" w:rsidP="00290B55">
            <w:pPr>
              <w:spacing w:before="120"/>
              <w:rPr>
                <w:b/>
                <w:color w:val="000000"/>
              </w:rPr>
            </w:pPr>
            <w:r>
              <w:rPr>
                <w:b/>
                <w:color w:val="000000"/>
              </w:rPr>
              <w:t>Glavne pregovarače za razvijene zemlje</w:t>
            </w:r>
          </w:p>
          <w:p w:rsidR="004D0CFD" w:rsidRDefault="004D0CFD" w:rsidP="004D0CFD">
            <w:r>
              <w:rPr>
                <w:color w:val="000000"/>
              </w:rPr>
              <w:t>(SAD, Kanada, Europska unija, Japan, Rusija i druge bivše sovjetske republike, Južna Koreja, Australija, Novi Zeland)</w:t>
            </w:r>
          </w:p>
        </w:tc>
      </w:tr>
      <w:tr w:rsidR="004D0CFD" w:rsidTr="00290B55">
        <w:trPr>
          <w:trHeight w:val="725"/>
        </w:trPr>
        <w:tc>
          <w:tcPr>
            <w:tcW w:w="2660" w:type="dxa"/>
            <w:vMerge/>
          </w:tcPr>
          <w:p w:rsidR="004D0CFD" w:rsidRPr="004D0CFD" w:rsidRDefault="004D0CFD" w:rsidP="004D0CFD">
            <w:pPr>
              <w:rPr>
                <w:lang w:bidi="en-US"/>
              </w:rPr>
            </w:pPr>
          </w:p>
        </w:tc>
        <w:tc>
          <w:tcPr>
            <w:tcW w:w="1134" w:type="dxa"/>
          </w:tcPr>
          <w:p w:rsidR="004D0CFD" w:rsidRPr="00290B55" w:rsidRDefault="004D0CFD" w:rsidP="00290B55">
            <w:pPr>
              <w:spacing w:before="120"/>
              <w:rPr>
                <w:b/>
                <w:color w:val="000000"/>
              </w:rPr>
            </w:pPr>
            <w:r>
              <w:rPr>
                <w:b/>
                <w:color w:val="000000"/>
              </w:rPr>
              <w:t>Predmet:</w:t>
            </w:r>
          </w:p>
        </w:tc>
        <w:tc>
          <w:tcPr>
            <w:tcW w:w="5953" w:type="dxa"/>
          </w:tcPr>
          <w:p w:rsidR="004D0CFD" w:rsidRPr="00290B55" w:rsidRDefault="004D0CFD" w:rsidP="00290B55">
            <w:pPr>
              <w:spacing w:before="120"/>
              <w:rPr>
                <w:b/>
                <w:color w:val="000000"/>
              </w:rPr>
            </w:pPr>
            <w:r>
              <w:rPr>
                <w:b/>
                <w:color w:val="000000"/>
              </w:rPr>
              <w:t>Pripreme za sastanak na vrhu o djelovanju u području klime</w:t>
            </w:r>
          </w:p>
        </w:tc>
      </w:tr>
    </w:tbl>
    <w:p w:rsidR="004D0CFD" w:rsidRPr="00290B55" w:rsidRDefault="004D0CFD" w:rsidP="00290B55"/>
    <w:p w:rsidR="002C1D77" w:rsidRPr="004D0CFD" w:rsidRDefault="00DC05B0" w:rsidP="00290B55">
      <w:pPr>
        <w:spacing w:after="120"/>
      </w:pPr>
      <w:r>
        <w:t xml:space="preserve">Dobrodošli na sastanak na vrhu o klimi. Glavni tajnik UN-a pozvao je vas i vodeće ličnosti iz svih relevantnih skupina dionika da zajedno radite na uspješnom rješavanju pitanja klimatskih promjena. Glavni tajnik u pozivu je </w:t>
      </w:r>
      <w:r>
        <w:rPr>
          <w:rStyle w:val="Bodytext2"/>
        </w:rPr>
        <w:t>poručio</w:t>
      </w:r>
      <w:r>
        <w:t>: „Krizna situacija u pogledu klime bitka je koju zasad gubimo, ali koju bismo mogli dobiti [...] Najbolji znanstveni izvori [...] upozoravaju nas da će povećanje temperature za više od 1,5°C nanijeti nepopravljivu štetu ekosustavima o kojima ovisimo [...] Međutim, znanost nam govori i da nije prekasno. Možemo uspjeti [...] No za to će biti potrebne temeljite promjene u svim aspektima društva: u načinu na koji proizvodimo hranu i gorivo, u načinu na koji koristimo zemljište i u vrsti energije koja se koristi u gospodarstvu [...] Ako djelujemo zajedno, nitko neće biti zapostavljen.”</w:t>
      </w:r>
    </w:p>
    <w:p w:rsidR="002C1D77" w:rsidRPr="004D0CFD" w:rsidRDefault="00DC05B0" w:rsidP="000A6D24">
      <w:pPr>
        <w:spacing w:after="120" w:line="276" w:lineRule="auto"/>
      </w:pPr>
      <w:r>
        <w:rPr>
          <w:color w:val="000000"/>
        </w:rPr>
        <w:t xml:space="preserve">Cilj je sastanka na vrhu pripremiti plan kojim bi se globalno zagrijavanje ograničilo na manje od 2°C [3,6°F] iznad predindustrijskih razina i nastojalo zadržati na 1,5°C [2,7°F], što su ujedno međunarodne ciljne vrijednosti formalno navedene u Pariškom klimatskom sporazumu. </w:t>
      </w:r>
      <w:r>
        <w:rPr>
          <w:rStyle w:val="Bodytext2"/>
        </w:rPr>
        <w:t>Znanstvene činjenice</w:t>
      </w:r>
      <w:r>
        <w:t xml:space="preserve"> su jasne: zagrijavanje veće od te razine imat će katastrofalne i nepovratne posljedice koje će ugroziti zdravlje, prosperitet i život ljudi u svim zemljama.</w:t>
      </w:r>
    </w:p>
    <w:p w:rsidR="002C1D77" w:rsidRPr="004D0CFD" w:rsidRDefault="00DC05B0" w:rsidP="00290B55">
      <w:pPr>
        <w:spacing w:after="120" w:line="276" w:lineRule="auto"/>
      </w:pPr>
      <w:r>
        <w:rPr>
          <w:color w:val="000000"/>
        </w:rPr>
        <w:t>Vi zastupate (prethodno navedene) razvijene zemlje svijeta. Ukupan broj stanovnika vaših zemalja iznosi 1,3 milijarde, odnosno oko 17 % od 7,7 milijardi ljudi u svijetu. Međutim, na vaše zemlje otpada ukupno 60 % svjetske gospodarske proizvodnje i one imaju najveći BDP (bruto domaći proizvod) po stanovniku.</w:t>
      </w:r>
    </w:p>
    <w:p w:rsidR="002C1D77" w:rsidRPr="004D0CFD" w:rsidRDefault="00DC05B0" w:rsidP="00290B55">
      <w:pPr>
        <w:spacing w:after="120" w:line="276" w:lineRule="auto"/>
      </w:pPr>
      <w:r>
        <w:rPr>
          <w:color w:val="000000"/>
        </w:rPr>
        <w:t>Prioriteti koje želite uključiti u javne politike navedeni su u nastavku, no možete iznijeti ili blokirati bilo koji prijedlog.</w:t>
      </w:r>
    </w:p>
    <w:p w:rsidR="002C1D77" w:rsidRPr="007A09A4" w:rsidRDefault="00DC05B0" w:rsidP="00290B55">
      <w:pPr>
        <w:numPr>
          <w:ilvl w:val="0"/>
          <w:numId w:val="1"/>
        </w:numPr>
        <w:spacing w:after="120" w:line="276" w:lineRule="auto"/>
        <w:ind w:left="403" w:hanging="403"/>
      </w:pPr>
      <w:r>
        <w:rPr>
          <w:b/>
          <w:color w:val="000000"/>
        </w:rPr>
        <w:t>Subvencionirati obnovljivu energiju (npr. solarnu energiju, energiju vjetra, geotermalnu energiju i hidroenergiju te skladištenje energije).</w:t>
      </w:r>
      <w:r>
        <w:rPr>
          <w:color w:val="000000"/>
        </w:rPr>
        <w:t xml:space="preserve"> </w:t>
      </w:r>
      <w:r>
        <w:t>Industrija obnovljive energije brzo raste, ali i dalje opskrbljuje svijet s manje od 5 % energije. Subvencije će pomoći da se te industrije razviju, pri čemu će se u vašim zemljama stvarati nova radna mjesta (ako uspijete razviti tehnologije za energiju vjetra i sunca te tehnologiju baterija brže od Kine i drugih zemalja u razvoju). Tehnologije za skladištenje (npr. baterije, toplinsko skladištenje, reverzibilne hidroelektrane) i za „pametnu mrežu” omogućuju da se energija iz različitih obnovljivih izvora, poput vjetra i sunca, uključi u energetski sustav, a da pritom opskrba električnom energijom bude osigurana 24 sata na dan.</w:t>
      </w:r>
    </w:p>
    <w:p w:rsidR="002C1D77" w:rsidRPr="00290B55" w:rsidRDefault="00DC05B0" w:rsidP="00290B55">
      <w:pPr>
        <w:numPr>
          <w:ilvl w:val="0"/>
          <w:numId w:val="1"/>
        </w:numPr>
        <w:spacing w:after="120" w:line="276" w:lineRule="auto"/>
        <w:ind w:left="403" w:hanging="403"/>
        <w:rPr>
          <w:b/>
        </w:rPr>
      </w:pPr>
      <w:r>
        <w:rPr>
          <w:rStyle w:val="Bodytext2Bold"/>
        </w:rPr>
        <w:t>Smanjiti deforestaciju.</w:t>
      </w:r>
      <w:r>
        <w:t xml:space="preserve"> </w:t>
      </w:r>
      <w:r>
        <w:rPr>
          <w:color w:val="000000"/>
        </w:rPr>
        <w:t>Deforestacija je trenutačno odgovorna za oko 15 % emisija stakleničkih plinova. Do velikog dijela deforestacije dolazi u tropskim šumama u zemljama u razvoju, primjerice u slivu rijeke Amazone, u Africi i južnoj/jugoistočnoj Aziji. Zaštitom šuma mogu se smanjiti te emisije, a istovremeno očuvati biološka raznolikost i zaštititi zalihe vode.</w:t>
      </w:r>
    </w:p>
    <w:p w:rsidR="002C1D77" w:rsidRPr="00290B55" w:rsidRDefault="00DC05B0" w:rsidP="00290B55">
      <w:pPr>
        <w:numPr>
          <w:ilvl w:val="0"/>
          <w:numId w:val="1"/>
        </w:numPr>
        <w:spacing w:after="120" w:line="276" w:lineRule="auto"/>
        <w:ind w:left="403" w:hanging="403"/>
        <w:rPr>
          <w:b/>
        </w:rPr>
      </w:pPr>
      <w:r>
        <w:rPr>
          <w:rStyle w:val="Bodytext2Bold"/>
        </w:rPr>
        <w:t xml:space="preserve">Razmotrite mogućnost pošumljavanja. </w:t>
      </w:r>
      <w:r>
        <w:rPr>
          <w:color w:val="000000"/>
        </w:rPr>
        <w:t xml:space="preserve">Pošumljavanje je sađenje novih šuma na zemljištu na kojem nema drveća; u nekim slučajevima to je zemljište bilo iskrčeno ili degradirano. </w:t>
      </w:r>
      <w:r>
        <w:t>Kako raste, drveće apsorbira CO</w:t>
      </w:r>
      <w:r>
        <w:rPr>
          <w:vertAlign w:val="subscript"/>
        </w:rPr>
        <w:t>2</w:t>
      </w:r>
      <w:r>
        <w:t xml:space="preserve"> iz atmosfere i pohranjuje ga u biomasi i tlu.</w:t>
      </w:r>
      <w:r>
        <w:rPr>
          <w:color w:val="000000"/>
        </w:rPr>
        <w:t xml:space="preserve"> S druge strane, ako se provodi u velikim razmjerima, pošumljavanje bi moglo zauzeti zemljište potrebno za usjeve ili uzgoj stoke, zbog čega bi se povećale cijene hrane. Razmislite o tome koliko je zemljišta potrebno za politike pošumljavanja koje vi i druge skupine predlažete.</w:t>
      </w:r>
    </w:p>
    <w:p w:rsidR="002C1D77" w:rsidRPr="007A09A4" w:rsidRDefault="00DC05B0" w:rsidP="00290B55">
      <w:pPr>
        <w:numPr>
          <w:ilvl w:val="0"/>
          <w:numId w:val="1"/>
        </w:numPr>
        <w:spacing w:after="120" w:line="276" w:lineRule="auto"/>
        <w:ind w:left="400" w:hanging="400"/>
      </w:pPr>
      <w:r>
        <w:rPr>
          <w:b/>
          <w:color w:val="000000"/>
        </w:rPr>
        <w:lastRenderedPageBreak/>
        <w:t>Smanjiti emisija metana, dušikova oksida i drugih stakleničkih plinova.</w:t>
      </w:r>
      <w:r>
        <w:t xml:space="preserve"> CO</w:t>
      </w:r>
      <w:r>
        <w:rPr>
          <w:vertAlign w:val="subscript"/>
        </w:rPr>
        <w:t>2</w:t>
      </w:r>
      <w:r>
        <w:t xml:space="preserve"> je najpoznatiji staklenički plin, ali drugi plinovi uzrokuju oko četvrtine globalnog zagrijavanja, primjerice metan (CH</w:t>
      </w:r>
      <w:r>
        <w:rPr>
          <w:vertAlign w:val="subscript"/>
        </w:rPr>
        <w:t>4</w:t>
      </w:r>
      <w:r>
        <w:t>), dušikov oksid (N</w:t>
      </w:r>
      <w:r>
        <w:rPr>
          <w:vertAlign w:val="subscript"/>
        </w:rPr>
        <w:t>2</w:t>
      </w:r>
      <w:r>
        <w:t xml:space="preserve">O) i velik broj </w:t>
      </w:r>
      <w:proofErr w:type="spellStart"/>
      <w:r>
        <w:t>klorofluorougljika</w:t>
      </w:r>
      <w:proofErr w:type="spellEnd"/>
      <w:r>
        <w:t xml:space="preserve"> i drugih </w:t>
      </w:r>
      <w:proofErr w:type="spellStart"/>
      <w:r>
        <w:t>fluoriranih</w:t>
      </w:r>
      <w:proofErr w:type="spellEnd"/>
      <w:r>
        <w:t xml:space="preserve"> spojeva (takozvani F-plinovi). Ako usporedimo utjecaj pojedinačnih molekula, tijekom idućih 100 godina mnogi staklenički plinovi doprinijet će globalnom zagrijavanju desecima, stotinama ili čak tisućama puta više od CO</w:t>
      </w:r>
      <w:r>
        <w:rPr>
          <w:vertAlign w:val="subscript"/>
        </w:rPr>
        <w:t>2</w:t>
      </w:r>
      <w:r>
        <w:t>. Koncentracije tih plinova danas nisu visoke, ali brzo se povećavaju.</w:t>
      </w:r>
    </w:p>
    <w:p w:rsidR="002C1D77" w:rsidRPr="007A09A4" w:rsidRDefault="00DC05B0" w:rsidP="00290B55">
      <w:pPr>
        <w:keepLines/>
        <w:numPr>
          <w:ilvl w:val="0"/>
          <w:numId w:val="1"/>
        </w:numPr>
        <w:spacing w:after="120" w:line="276" w:lineRule="auto"/>
        <w:ind w:left="403" w:hanging="403"/>
      </w:pPr>
      <w:r>
        <w:rPr>
          <w:b/>
        </w:rPr>
        <w:t>Odlučite hoće li se ulagati u istraživanja i razvoj u cilju pronalaženja novog jeftinog izvora energije bez emisija ugljika.</w:t>
      </w:r>
      <w:r>
        <w:t xml:space="preserve"> Neki znanstvenici smatraju da bi nova vrsta nuklearne energije (primjerice, fisija torija ili nuklearna fuzija) mogla biti najbolji izvor energije koji bi mogao zamijeniti fosilna goriva te tvrde da bi se takvim tehnologijama mogle osigurati velike količine jeftine električne energije bez emisija ugljika. Nekoliko istaknutih sveučilišta i poduzeća rade na obećavajućim novim rješenjima za nuklearnu energiju. Međutim, te nove tehnologije trenutačno nisu dostupne, a da bi postale komercijalno održive potrebna su velika ulaganja.</w:t>
      </w:r>
    </w:p>
    <w:p w:rsidR="002C1D77" w:rsidRPr="007A09A4" w:rsidRDefault="00DC05B0" w:rsidP="00290B55">
      <w:pPr>
        <w:numPr>
          <w:ilvl w:val="0"/>
          <w:numId w:val="1"/>
        </w:numPr>
        <w:spacing w:after="120" w:line="276" w:lineRule="auto"/>
        <w:ind w:left="403" w:hanging="403"/>
      </w:pPr>
      <w:r>
        <w:rPr>
          <w:b/>
          <w:color w:val="000000"/>
        </w:rPr>
        <w:t>Odlučite može li se postići velik napredak u razvoju tehnologije uklanjanja ugljika.</w:t>
      </w:r>
      <w:r>
        <w:t xml:space="preserve"> Na novom području tehnologije za uklanjanje ugljičnog dioksida traže se metode za uklanjanje CO</w:t>
      </w:r>
      <w:r>
        <w:rPr>
          <w:vertAlign w:val="subscript"/>
        </w:rPr>
        <w:t>2</w:t>
      </w:r>
      <w:r>
        <w:t xml:space="preserve"> koji se već nalazi u atmosferi. Te tehnologije pokrivaju širok spektar mogućnosti koje se kreću od promjena u poljoprivredi (koje bi se mogle primijeniti odmah) do spekulativnih i neisprobanih tehnologija kao što je izravno hvatanje ugljika iz zraka. Vaša skupina mogla bi odlučiti ulagati u te tehnologije.</w:t>
      </w:r>
    </w:p>
    <w:p w:rsidR="002C1D77" w:rsidRPr="007A09A4" w:rsidRDefault="00DC05B0" w:rsidP="00290B55">
      <w:pPr>
        <w:numPr>
          <w:ilvl w:val="0"/>
          <w:numId w:val="1"/>
        </w:numPr>
        <w:tabs>
          <w:tab w:val="left" w:pos="355"/>
        </w:tabs>
        <w:spacing w:after="120" w:line="276" w:lineRule="auto"/>
        <w:ind w:left="403" w:hanging="403"/>
      </w:pPr>
      <w:r>
        <w:rPr>
          <w:b/>
        </w:rPr>
        <w:t>Razmotrite mogućnost određivanja cijene za emisije CO</w:t>
      </w:r>
      <w:r>
        <w:rPr>
          <w:b/>
          <w:vertAlign w:val="subscript"/>
        </w:rPr>
        <w:t>2</w:t>
      </w:r>
      <w:r>
        <w:rPr>
          <w:b/>
        </w:rPr>
        <w:t>.</w:t>
      </w:r>
      <w:r>
        <w:t xml:space="preserve"> Fosilna goriva i dalje dominiraju u svjetskom energetskom sustavu, a CO</w:t>
      </w:r>
      <w:r>
        <w:rPr>
          <w:vertAlign w:val="subscript"/>
        </w:rPr>
        <w:t>2</w:t>
      </w:r>
      <w:r>
        <w:t xml:space="preserve"> koji ispuštaju daleko je najveći izvor emisija stakleničkih plinova. Ekonomisti se slažu oko toga da je „određivanje cijene ugljika“ najbolji način za smanjenje globalnih emisija stakleničkih plinova. Razmislite o mogućnosti uvođenja cijene za ispuštanje ugljika, što bi se moglo postupno uvoditi tijekom određenog razdoblja kako bi industrija i potrošači imali vremena za prilagodbu. Prihodi od toga mogu se koristiti u različite svrhe: kao naknada za potrošače, za pokrivanje dijela troškova drugih politika, za smanjenje proračunskog deficita ili kao pomoć zemljama u razvoju da smanje svoje emisije. Iako su cijene ugljika uvedene u nekima od vaših zemalja, država i regija, one su najčešće daleko niže od cijene koju preporučuju mnogi ekonomisti, odnosno 30 – 50 USD po toni CO</w:t>
      </w:r>
      <w:r>
        <w:rPr>
          <w:vertAlign w:val="subscript"/>
        </w:rPr>
        <w:t>2</w:t>
      </w:r>
      <w:r>
        <w:t xml:space="preserve"> ili više. Industrija fosilnih goriva protivi se uvođenju cijene ugljika, kao i poduzeća koja u velikoj mjeri ovise o fosilnim gorivima.</w:t>
      </w:r>
    </w:p>
    <w:p w:rsidR="002C1D77" w:rsidRPr="000A6D24" w:rsidRDefault="00DC05B0" w:rsidP="00290B55">
      <w:pPr>
        <w:spacing w:after="120" w:line="276" w:lineRule="auto"/>
        <w:rPr>
          <w:b/>
        </w:rPr>
      </w:pPr>
      <w:r>
        <w:rPr>
          <w:b/>
          <w:color w:val="000000"/>
        </w:rPr>
        <w:t>Dodatne informacije koje je potrebno uzeti u obzir</w:t>
      </w:r>
    </w:p>
    <w:p w:rsidR="002C1D77" w:rsidRPr="004D0CFD" w:rsidRDefault="00DC05B0" w:rsidP="000A6D24">
      <w:pPr>
        <w:spacing w:after="120" w:line="276" w:lineRule="auto"/>
      </w:pPr>
      <w:r>
        <w:rPr>
          <w:color w:val="000000"/>
        </w:rPr>
        <w:t>Uviđate da doista dolazi do klimatskih promjena koje su uzrokovane prvenstveno izgaranjem fosilnih goriva i da one predstavljaju ozbiljnu opasnost za ljude diljem svijeta, pa tako i za vas. Klimatske promjene uzrokuju niz drugih ozbiljnih prijetnji koje ugrožavaju vašu nac</w:t>
      </w:r>
      <w:bookmarkStart w:id="1" w:name="_GoBack"/>
      <w:bookmarkEnd w:id="1"/>
      <w:r>
        <w:rPr>
          <w:color w:val="000000"/>
        </w:rPr>
        <w:t>ionalnu sigurnost: šteta do koje dolazi zbog klimatskih promjena sve češće potiče sukobe i migracije, što već uzrokuje negativne reakcije u nekim krugovima i nametanje protuimigracijskih politika.</w:t>
      </w:r>
    </w:p>
    <w:p w:rsidR="002C1D77" w:rsidRPr="004D0CFD" w:rsidRDefault="00DC05B0" w:rsidP="000A6D24">
      <w:pPr>
        <w:spacing w:after="120" w:line="276" w:lineRule="auto"/>
      </w:pPr>
      <w:r>
        <w:rPr>
          <w:color w:val="000000"/>
        </w:rPr>
        <w:t xml:space="preserve">Istovremeno, vaše zemlje ovise o fosilnim gorivima. One su odgovorne za 36 % današnjih globalnih emisija stakleničkih plinova, a i za mnogo veći dio emisija koje se akumuliraju još od industrijske revolucije. Gospodarstva nekih zemalja u vašoj skupini ovisna su o izvozu fosilnih goriva, posebno Rusija (nafta i plin), Australija (ugljen) i Kanada (nafta iz katranskog pijeska). Sjedinjene Američke Države najavile su da se namjeravaju povući iz Pariškog klimatskog sporazuma iz 2015., a savezna vlada SAD-a odustaje od brojnih klimatski prihvatljivih politika. </w:t>
      </w:r>
      <w:r>
        <w:t xml:space="preserve">S druge strane, </w:t>
      </w:r>
      <w:r>
        <w:rPr>
          <w:rStyle w:val="Bodytext2"/>
        </w:rPr>
        <w:t>deseci država</w:t>
      </w:r>
      <w:r>
        <w:t xml:space="preserve"> i stotine gradova, okruga i poduzeća u SAD-u izjavili su da su „</w:t>
      </w:r>
      <w:r>
        <w:rPr>
          <w:rStyle w:val="Bodytext2"/>
        </w:rPr>
        <w:t>predani Pariškom sporazumu</w:t>
      </w:r>
      <w:r>
        <w:t>” i obvezali su se na ispunjavanje svog dijela američkih obveza, pa i na više od toga.</w:t>
      </w:r>
      <w:r>
        <w:rPr>
          <w:color w:val="000000"/>
        </w:rPr>
        <w:t xml:space="preserve"> Mnoge vlade i poduzeća smatraju da su klimatski prihvatljive politike dobre za gospodarstvo. Energetska učinkovitost i obnovljivi izvori energije poput vjetra i sunca često su profitabilni, stvaraju radna mjesta i poboljšavaju javno zdravlje.</w:t>
      </w:r>
    </w:p>
    <w:p w:rsidR="002C1D77" w:rsidRPr="004D0CFD" w:rsidRDefault="00DC05B0">
      <w:pPr>
        <w:spacing w:line="276" w:lineRule="auto"/>
      </w:pPr>
      <w:r>
        <w:rPr>
          <w:color w:val="000000"/>
        </w:rPr>
        <w:t>Vaše zemlje nastoje smanjiti svoje emisije stakleničkih plinova, ali znate da je Kina najveći svjetski izvor emisija (28 % globalnih emisija) i da zemlje u razvoju i zemlje u usponu zajedno ispuštaju oko 65 % globalnih emisija, iako su emisije po osobi u tim zemljama niske.</w:t>
      </w:r>
    </w:p>
    <w:sectPr w:rsidR="002C1D77" w:rsidRPr="004D0CFD" w:rsidSect="004D0CFD">
      <w:footerReference w:type="default" r:id="rId8"/>
      <w:pgSz w:w="11906" w:h="16838" w:code="9"/>
      <w:pgMar w:top="851" w:right="1134" w:bottom="1134" w:left="1247" w:header="284" w:footer="28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05B0" w:rsidRDefault="00DC05B0">
      <w:pPr>
        <w:spacing w:line="240" w:lineRule="auto"/>
      </w:pPr>
      <w:r>
        <w:separator/>
      </w:r>
    </w:p>
  </w:endnote>
  <w:endnote w:type="continuationSeparator" w:id="0">
    <w:p w:rsidR="00DC05B0" w:rsidRDefault="00DC05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CFD" w:rsidRPr="00290B55" w:rsidRDefault="004D0CFD">
    <w:pPr>
      <w:pStyle w:val="Footer"/>
      <w:rPr>
        <w:i/>
        <w:sz w:val="18"/>
        <w:szCs w:val="18"/>
      </w:rPr>
    </w:pPr>
    <w:r>
      <w:rPr>
        <w:i/>
        <w:sz w:val="18"/>
        <w:szCs w:val="18"/>
      </w:rPr>
      <w:t xml:space="preserve">Pripremili: </w:t>
    </w:r>
    <w:proofErr w:type="spellStart"/>
    <w:r>
      <w:rPr>
        <w:i/>
        <w:sz w:val="18"/>
        <w:szCs w:val="18"/>
      </w:rPr>
      <w:t>Climate</w:t>
    </w:r>
    <w:proofErr w:type="spellEnd"/>
    <w:r>
      <w:rPr>
        <w:i/>
        <w:sz w:val="18"/>
        <w:szCs w:val="18"/>
      </w:rPr>
      <w:t xml:space="preserve"> </w:t>
    </w:r>
    <w:proofErr w:type="spellStart"/>
    <w:r>
      <w:rPr>
        <w:i/>
        <w:sz w:val="18"/>
        <w:szCs w:val="18"/>
      </w:rPr>
      <w:t>Interactive</w:t>
    </w:r>
    <w:proofErr w:type="spellEnd"/>
    <w:r>
      <w:rPr>
        <w:i/>
        <w:sz w:val="18"/>
        <w:szCs w:val="18"/>
      </w:rPr>
      <w:t xml:space="preserve">, MIT </w:t>
    </w:r>
    <w:proofErr w:type="spellStart"/>
    <w:r>
      <w:rPr>
        <w:i/>
        <w:sz w:val="18"/>
        <w:szCs w:val="18"/>
      </w:rPr>
      <w:t>Sloan</w:t>
    </w:r>
    <w:proofErr w:type="spellEnd"/>
    <w:r>
      <w:rPr>
        <w:i/>
        <w:sz w:val="18"/>
        <w:szCs w:val="18"/>
      </w:rPr>
      <w:t xml:space="preserve"> </w:t>
    </w:r>
    <w:proofErr w:type="spellStart"/>
    <w:r>
      <w:rPr>
        <w:i/>
        <w:sz w:val="18"/>
        <w:szCs w:val="18"/>
      </w:rPr>
      <w:t>School</w:t>
    </w:r>
    <w:proofErr w:type="spellEnd"/>
    <w:r>
      <w:rPr>
        <w:i/>
        <w:sz w:val="18"/>
        <w:szCs w:val="18"/>
      </w:rPr>
      <w:t xml:space="preserve"> </w:t>
    </w:r>
    <w:proofErr w:type="spellStart"/>
    <w:r>
      <w:rPr>
        <w:i/>
        <w:sz w:val="18"/>
        <w:szCs w:val="18"/>
      </w:rPr>
      <w:t>of</w:t>
    </w:r>
    <w:proofErr w:type="spellEnd"/>
    <w:r>
      <w:rPr>
        <w:i/>
        <w:sz w:val="18"/>
        <w:szCs w:val="18"/>
      </w:rPr>
      <w:t xml:space="preserve"> Management </w:t>
    </w:r>
    <w:proofErr w:type="spellStart"/>
    <w:r>
      <w:rPr>
        <w:i/>
        <w:sz w:val="18"/>
        <w:szCs w:val="18"/>
      </w:rPr>
      <w:t>Sustainability</w:t>
    </w:r>
    <w:proofErr w:type="spellEnd"/>
    <w:r>
      <w:rPr>
        <w:i/>
        <w:sz w:val="18"/>
        <w:szCs w:val="18"/>
      </w:rPr>
      <w:t xml:space="preserve"> </w:t>
    </w:r>
    <w:proofErr w:type="spellStart"/>
    <w:r>
      <w:rPr>
        <w:i/>
        <w:sz w:val="18"/>
        <w:szCs w:val="18"/>
      </w:rPr>
      <w:t>Initiative</w:t>
    </w:r>
    <w:proofErr w:type="spellEnd"/>
    <w:r>
      <w:rPr>
        <w:i/>
        <w:sz w:val="18"/>
        <w:szCs w:val="18"/>
      </w:rPr>
      <w:t xml:space="preserve">, ESB Business </w:t>
    </w:r>
    <w:proofErr w:type="spellStart"/>
    <w:r>
      <w:rPr>
        <w:i/>
        <w:sz w:val="18"/>
        <w:szCs w:val="18"/>
      </w:rPr>
      <w:t>School</w:t>
    </w:r>
    <w:proofErr w:type="spellEnd"/>
    <w:r>
      <w:rPr>
        <w:i/>
        <w:sz w:val="18"/>
        <w:szCs w:val="18"/>
      </w:rPr>
      <w:t xml:space="preserve"> i UMAS </w:t>
    </w:r>
    <w:proofErr w:type="spellStart"/>
    <w:r>
      <w:rPr>
        <w:i/>
        <w:sz w:val="18"/>
        <w:szCs w:val="18"/>
      </w:rPr>
      <w:t>Lowell</w:t>
    </w:r>
    <w:proofErr w:type="spellEnd"/>
    <w:r>
      <w:rPr>
        <w:i/>
        <w:sz w:val="18"/>
        <w:szCs w:val="18"/>
      </w:rPr>
      <w:t xml:space="preserve"> </w:t>
    </w:r>
    <w:proofErr w:type="spellStart"/>
    <w:r>
      <w:rPr>
        <w:i/>
        <w:sz w:val="18"/>
        <w:szCs w:val="18"/>
      </w:rPr>
      <w:t>Climate</w:t>
    </w:r>
    <w:proofErr w:type="spellEnd"/>
    <w:r>
      <w:rPr>
        <w:i/>
        <w:sz w:val="18"/>
        <w:szCs w:val="18"/>
      </w:rPr>
      <w:t xml:space="preserve"> </w:t>
    </w:r>
    <w:proofErr w:type="spellStart"/>
    <w:r>
      <w:rPr>
        <w:i/>
        <w:sz w:val="18"/>
        <w:szCs w:val="18"/>
      </w:rPr>
      <w:t>Change</w:t>
    </w:r>
    <w:proofErr w:type="spellEnd"/>
    <w:r>
      <w:rPr>
        <w:i/>
        <w:sz w:val="18"/>
        <w:szCs w:val="18"/>
      </w:rPr>
      <w:t xml:space="preserve"> </w:t>
    </w:r>
    <w:proofErr w:type="spellStart"/>
    <w:r>
      <w:rPr>
        <w:i/>
        <w:sz w:val="18"/>
        <w:szCs w:val="18"/>
      </w:rPr>
      <w:t>Initiative</w:t>
    </w:r>
    <w:proofErr w:type="spellEnd"/>
    <w:r>
      <w:rPr>
        <w:i/>
        <w:sz w:val="18"/>
        <w:szCs w:val="18"/>
      </w:rPr>
      <w:t xml:space="preserve">. Posljednji put ažurirano u rujnu 2019. </w:t>
    </w:r>
    <w:hyperlink r:id="rId1" w:history="1">
      <w:r>
        <w:rPr>
          <w:rStyle w:val="Hyperlink"/>
          <w:i/>
          <w:sz w:val="18"/>
          <w:szCs w:val="18"/>
        </w:rPr>
        <w:t>www.cllmatelnteractlve.org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05B0" w:rsidRDefault="00DC05B0"/>
  </w:footnote>
  <w:footnote w:type="continuationSeparator" w:id="0">
    <w:p w:rsidR="00DC05B0" w:rsidRDefault="00DC05B0"/>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413B2488"/>
    <w:multiLevelType w:val="multilevel"/>
    <w:tmpl w:val="69EAB3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D77"/>
    <w:rsid w:val="0006720E"/>
    <w:rsid w:val="000A6D24"/>
    <w:rsid w:val="00290B55"/>
    <w:rsid w:val="002C1D77"/>
    <w:rsid w:val="00457E56"/>
    <w:rsid w:val="004D0CFD"/>
    <w:rsid w:val="00571732"/>
    <w:rsid w:val="005C1752"/>
    <w:rsid w:val="006D3A3F"/>
    <w:rsid w:val="007412A6"/>
    <w:rsid w:val="007835BC"/>
    <w:rsid w:val="007A09A4"/>
    <w:rsid w:val="0091067F"/>
    <w:rsid w:val="00A26097"/>
    <w:rsid w:val="00B7427A"/>
    <w:rsid w:val="00BE2C0D"/>
    <w:rsid w:val="00BE3933"/>
    <w:rsid w:val="00DC05B0"/>
    <w:rsid w:val="00FE51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95E3C3-2C3E-41A3-9DDC-C3C4FCF2EA7C}"/>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hr-HR"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CFD"/>
    <w:pPr>
      <w:widowControl/>
      <w:spacing w:line="288" w:lineRule="auto"/>
      <w:jc w:val="both"/>
    </w:pPr>
    <w:rPr>
      <w:sz w:val="22"/>
      <w:szCs w:val="22"/>
      <w:lang w:bidi="ar-SA"/>
    </w:rPr>
  </w:style>
  <w:style w:type="paragraph" w:styleId="Heading1">
    <w:name w:val="heading 1"/>
    <w:basedOn w:val="Normal"/>
    <w:next w:val="Normal"/>
    <w:link w:val="Heading1Char"/>
    <w:qFormat/>
    <w:rsid w:val="004D0CFD"/>
    <w:pPr>
      <w:numPr>
        <w:numId w:val="2"/>
      </w:numPr>
      <w:ind w:left="567" w:hanging="567"/>
      <w:outlineLvl w:val="0"/>
    </w:pPr>
    <w:rPr>
      <w:kern w:val="28"/>
    </w:rPr>
  </w:style>
  <w:style w:type="paragraph" w:styleId="Heading2">
    <w:name w:val="heading 2"/>
    <w:basedOn w:val="Normal"/>
    <w:next w:val="Normal"/>
    <w:link w:val="Heading2Char"/>
    <w:qFormat/>
    <w:rsid w:val="004D0CFD"/>
    <w:pPr>
      <w:numPr>
        <w:ilvl w:val="1"/>
        <w:numId w:val="2"/>
      </w:numPr>
      <w:ind w:left="567" w:hanging="567"/>
      <w:outlineLvl w:val="1"/>
    </w:pPr>
  </w:style>
  <w:style w:type="paragraph" w:styleId="Heading3">
    <w:name w:val="heading 3"/>
    <w:basedOn w:val="Normal"/>
    <w:next w:val="Normal"/>
    <w:link w:val="Heading3Char"/>
    <w:qFormat/>
    <w:rsid w:val="004D0CFD"/>
    <w:pPr>
      <w:numPr>
        <w:ilvl w:val="2"/>
        <w:numId w:val="2"/>
      </w:numPr>
      <w:ind w:left="567" w:hanging="567"/>
      <w:outlineLvl w:val="2"/>
    </w:pPr>
  </w:style>
  <w:style w:type="paragraph" w:styleId="Heading4">
    <w:name w:val="heading 4"/>
    <w:basedOn w:val="Normal"/>
    <w:next w:val="Normal"/>
    <w:link w:val="Heading4Char"/>
    <w:qFormat/>
    <w:rsid w:val="004D0CFD"/>
    <w:pPr>
      <w:numPr>
        <w:ilvl w:val="3"/>
        <w:numId w:val="2"/>
      </w:numPr>
      <w:ind w:left="567" w:hanging="567"/>
      <w:outlineLvl w:val="3"/>
    </w:pPr>
  </w:style>
  <w:style w:type="paragraph" w:styleId="Heading5">
    <w:name w:val="heading 5"/>
    <w:basedOn w:val="Normal"/>
    <w:next w:val="Normal"/>
    <w:link w:val="Heading5Char"/>
    <w:qFormat/>
    <w:rsid w:val="004D0CFD"/>
    <w:pPr>
      <w:numPr>
        <w:ilvl w:val="4"/>
        <w:numId w:val="2"/>
      </w:numPr>
      <w:ind w:left="567" w:hanging="567"/>
      <w:outlineLvl w:val="4"/>
    </w:pPr>
  </w:style>
  <w:style w:type="paragraph" w:styleId="Heading6">
    <w:name w:val="heading 6"/>
    <w:basedOn w:val="Normal"/>
    <w:next w:val="Normal"/>
    <w:link w:val="Heading6Char"/>
    <w:qFormat/>
    <w:rsid w:val="004D0CFD"/>
    <w:pPr>
      <w:numPr>
        <w:ilvl w:val="5"/>
        <w:numId w:val="2"/>
      </w:numPr>
      <w:ind w:left="567" w:hanging="567"/>
      <w:outlineLvl w:val="5"/>
    </w:pPr>
  </w:style>
  <w:style w:type="paragraph" w:styleId="Heading7">
    <w:name w:val="heading 7"/>
    <w:basedOn w:val="Normal"/>
    <w:next w:val="Normal"/>
    <w:link w:val="Heading7Char"/>
    <w:qFormat/>
    <w:rsid w:val="004D0CFD"/>
    <w:pPr>
      <w:numPr>
        <w:ilvl w:val="6"/>
        <w:numId w:val="2"/>
      </w:numPr>
      <w:ind w:left="567" w:hanging="567"/>
      <w:outlineLvl w:val="6"/>
    </w:pPr>
  </w:style>
  <w:style w:type="paragraph" w:styleId="Heading8">
    <w:name w:val="heading 8"/>
    <w:basedOn w:val="Normal"/>
    <w:next w:val="Normal"/>
    <w:link w:val="Heading8Char"/>
    <w:qFormat/>
    <w:rsid w:val="004D0CFD"/>
    <w:pPr>
      <w:numPr>
        <w:ilvl w:val="7"/>
        <w:numId w:val="2"/>
      </w:numPr>
      <w:ind w:left="567" w:hanging="567"/>
      <w:outlineLvl w:val="7"/>
    </w:pPr>
  </w:style>
  <w:style w:type="paragraph" w:styleId="Heading9">
    <w:name w:val="heading 9"/>
    <w:basedOn w:val="Normal"/>
    <w:next w:val="Normal"/>
    <w:link w:val="Heading9Char"/>
    <w:qFormat/>
    <w:rsid w:val="004D0CFD"/>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0CFD"/>
    <w:rPr>
      <w:color w:val="0563C1" w:themeColor="hyperlink"/>
      <w:u w:val="single"/>
    </w:rPr>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2">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0000FE"/>
      <w:spacing w:val="0"/>
      <w:w w:val="100"/>
      <w:position w:val="0"/>
      <w:sz w:val="22"/>
      <w:szCs w:val="22"/>
      <w:u w:val="single"/>
      <w:lang w:val="hr-HR" w:eastAsia="en-US" w:bidi="en-US"/>
    </w:rPr>
  </w:style>
  <w:style w:type="character" w:customStyle="1" w:styleId="Bodytext20">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0000FE"/>
      <w:spacing w:val="0"/>
      <w:w w:val="100"/>
      <w:position w:val="0"/>
      <w:sz w:val="22"/>
      <w:szCs w:val="22"/>
      <w:u w:val="none"/>
      <w:lang w:val="hr-HR" w:eastAsia="en-US" w:bidi="en-US"/>
    </w:rPr>
  </w:style>
  <w:style w:type="character" w:customStyle="1" w:styleId="Bodytext21">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222222"/>
      <w:spacing w:val="0"/>
      <w:w w:val="100"/>
      <w:position w:val="0"/>
      <w:sz w:val="22"/>
      <w:szCs w:val="22"/>
      <w:u w:val="none"/>
      <w:lang w:val="hr-HR" w:eastAsia="en-US" w:bidi="en-US"/>
    </w:rPr>
  </w:style>
  <w:style w:type="character" w:customStyle="1" w:styleId="Bodytext2Bold">
    <w:name w:val="Body text|2 +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22"/>
      <w:szCs w:val="22"/>
      <w:u w:val="none"/>
      <w:lang w:val="hr-HR" w:eastAsia="en-US" w:bidi="en-US"/>
    </w:rPr>
  </w:style>
  <w:style w:type="character" w:customStyle="1" w:styleId="Bodytext26pt">
    <w:name w:val="Body text|2 + 6 pt"/>
    <w:basedOn w:val="DefaultParagraphFont"/>
    <w:semiHidden/>
    <w:unhideWhenUsed/>
    <w:rsid w:val="000A6D24"/>
    <w:rPr>
      <w:rFonts w:ascii="Times New Roman" w:eastAsia="Times New Roman" w:hAnsi="Times New Roman" w:cs="Times New Roman"/>
      <w:b w:val="0"/>
      <w:bCs w:val="0"/>
      <w:i w:val="0"/>
      <w:iCs w:val="0"/>
      <w:smallCaps w:val="0"/>
      <w:strike w:val="0"/>
      <w:color w:val="000000"/>
      <w:spacing w:val="0"/>
      <w:w w:val="100"/>
      <w:position w:val="0"/>
      <w:sz w:val="12"/>
      <w:szCs w:val="12"/>
      <w:u w:val="none"/>
      <w:lang w:val="hr-HR" w:eastAsia="en-US" w:bidi="en-US"/>
    </w:rPr>
  </w:style>
  <w:style w:type="character" w:customStyle="1" w:styleId="Bodytext3NotBold">
    <w:name w:val="Body text|3 + Not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22"/>
      <w:szCs w:val="22"/>
      <w:u w:val="none"/>
      <w:lang w:val="hr-HR" w:eastAsia="en-US" w:bidi="en-US"/>
    </w:rPr>
  </w:style>
  <w:style w:type="character" w:customStyle="1" w:styleId="Bodytext36ptNotBold">
    <w:name w:val="Body text|3 + 6 pt;Not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12"/>
      <w:szCs w:val="12"/>
      <w:u w:val="none"/>
      <w:lang w:val="hr-HR" w:eastAsia="en-US" w:bidi="en-US"/>
    </w:rPr>
  </w:style>
  <w:style w:type="character" w:customStyle="1" w:styleId="Bodytext3">
    <w:name w:val="Body text|3"/>
    <w:basedOn w:val="DefaultParagraphFont"/>
    <w:semiHidden/>
    <w:unhideWhenUsed/>
    <w:rsid w:val="000A6D24"/>
    <w:rPr>
      <w:rFonts w:ascii="Times New Roman" w:eastAsia="Times New Roman" w:hAnsi="Times New Roman" w:cs="Times New Roman"/>
      <w:b/>
      <w:bCs/>
      <w:i w:val="0"/>
      <w:iCs w:val="0"/>
      <w:smallCaps w:val="0"/>
      <w:strike w:val="0"/>
      <w:color w:val="222222"/>
      <w:spacing w:val="0"/>
      <w:w w:val="100"/>
      <w:position w:val="0"/>
      <w:sz w:val="22"/>
      <w:szCs w:val="22"/>
      <w:u w:val="none"/>
      <w:lang w:val="hr-HR" w:eastAsia="en-US" w:bidi="en-US"/>
    </w:rPr>
  </w:style>
  <w:style w:type="character" w:customStyle="1" w:styleId="Bodytext26pt0">
    <w:name w:val="Body text|2 + 6 pt"/>
    <w:basedOn w:val="DefaultParagraphFont"/>
    <w:semiHidden/>
    <w:unhideWhenUsed/>
    <w:rsid w:val="000A6D24"/>
    <w:rPr>
      <w:rFonts w:ascii="Times New Roman" w:eastAsia="Times New Roman" w:hAnsi="Times New Roman" w:cs="Times New Roman"/>
      <w:b w:val="0"/>
      <w:bCs w:val="0"/>
      <w:i w:val="0"/>
      <w:iCs w:val="0"/>
      <w:smallCaps w:val="0"/>
      <w:strike w:val="0"/>
      <w:color w:val="222222"/>
      <w:spacing w:val="0"/>
      <w:w w:val="100"/>
      <w:position w:val="0"/>
      <w:sz w:val="12"/>
      <w:szCs w:val="12"/>
      <w:u w:val="none"/>
      <w:lang w:val="hr-HR" w:eastAsia="en-US" w:bidi="en-US"/>
    </w:rPr>
  </w:style>
  <w:style w:type="character" w:customStyle="1" w:styleId="Bodytext2Bold0">
    <w:name w:val="Body text|2 + Bold"/>
    <w:basedOn w:val="DefaultParagraphFont"/>
    <w:semiHidden/>
    <w:unhideWhenUsed/>
    <w:rsid w:val="000A6D24"/>
    <w:rPr>
      <w:rFonts w:ascii="Times New Roman" w:eastAsia="Times New Roman" w:hAnsi="Times New Roman" w:cs="Times New Roman"/>
      <w:b/>
      <w:bCs/>
      <w:i w:val="0"/>
      <w:iCs w:val="0"/>
      <w:smallCaps w:val="0"/>
      <w:strike w:val="0"/>
      <w:color w:val="222222"/>
      <w:spacing w:val="0"/>
      <w:w w:val="100"/>
      <w:position w:val="0"/>
      <w:sz w:val="22"/>
      <w:szCs w:val="22"/>
      <w:u w:val="none"/>
      <w:lang w:val="hr-HR" w:eastAsia="en-US" w:bidi="en-US"/>
    </w:rPr>
  </w:style>
  <w:style w:type="table" w:styleId="TableGrid">
    <w:name w:val="Table Grid"/>
    <w:basedOn w:val="TableNormal"/>
    <w:uiPriority w:val="39"/>
    <w:rsid w:val="004D0C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10">
    <w:name w:val="Heading #1|1"/>
    <w:basedOn w:val="Normal"/>
    <w:link w:val="Heading11"/>
    <w:qFormat/>
    <w:pPr>
      <w:widowControl w:val="0"/>
      <w:shd w:val="clear" w:color="auto" w:fill="FFFFFF"/>
      <w:spacing w:after="300" w:line="402" w:lineRule="exact"/>
      <w:jc w:val="center"/>
      <w:outlineLvl w:val="0"/>
    </w:pPr>
    <w:rPr>
      <w:rFonts w:ascii="Arial" w:eastAsia="Arial" w:hAnsi="Arial" w:cs="Arial"/>
      <w:b/>
      <w:bCs/>
      <w:sz w:val="36"/>
      <w:szCs w:val="36"/>
    </w:rPr>
  </w:style>
  <w:style w:type="character" w:customStyle="1" w:styleId="Heading1Char">
    <w:name w:val="Heading 1 Char"/>
    <w:basedOn w:val="DefaultParagraphFont"/>
    <w:link w:val="Heading1"/>
    <w:rsid w:val="004D0CFD"/>
    <w:rPr>
      <w:kern w:val="28"/>
      <w:sz w:val="22"/>
      <w:szCs w:val="22"/>
      <w:lang w:bidi="ar-SA"/>
    </w:rPr>
  </w:style>
  <w:style w:type="character" w:customStyle="1" w:styleId="Heading2Char">
    <w:name w:val="Heading 2 Char"/>
    <w:basedOn w:val="DefaultParagraphFont"/>
    <w:link w:val="Heading2"/>
    <w:rsid w:val="004D0CFD"/>
    <w:rPr>
      <w:sz w:val="22"/>
      <w:szCs w:val="22"/>
      <w:lang w:bidi="ar-SA"/>
    </w:rPr>
  </w:style>
  <w:style w:type="character" w:customStyle="1" w:styleId="Heading3Char">
    <w:name w:val="Heading 3 Char"/>
    <w:basedOn w:val="DefaultParagraphFont"/>
    <w:link w:val="Heading3"/>
    <w:rsid w:val="004D0CFD"/>
    <w:rPr>
      <w:sz w:val="22"/>
      <w:szCs w:val="22"/>
      <w:lang w:bidi="ar-SA"/>
    </w:rPr>
  </w:style>
  <w:style w:type="character" w:customStyle="1" w:styleId="Heading4Char">
    <w:name w:val="Heading 4 Char"/>
    <w:basedOn w:val="DefaultParagraphFont"/>
    <w:link w:val="Heading4"/>
    <w:rsid w:val="004D0CFD"/>
    <w:rPr>
      <w:sz w:val="22"/>
      <w:szCs w:val="22"/>
      <w:lang w:bidi="ar-SA"/>
    </w:rPr>
  </w:style>
  <w:style w:type="character" w:customStyle="1" w:styleId="Heading5Char">
    <w:name w:val="Heading 5 Char"/>
    <w:basedOn w:val="DefaultParagraphFont"/>
    <w:link w:val="Heading5"/>
    <w:rsid w:val="004D0CFD"/>
    <w:rPr>
      <w:sz w:val="22"/>
      <w:szCs w:val="22"/>
      <w:lang w:bidi="ar-SA"/>
    </w:rPr>
  </w:style>
  <w:style w:type="character" w:customStyle="1" w:styleId="Heading6Char">
    <w:name w:val="Heading 6 Char"/>
    <w:basedOn w:val="DefaultParagraphFont"/>
    <w:link w:val="Heading6"/>
    <w:rsid w:val="004D0CFD"/>
    <w:rPr>
      <w:sz w:val="22"/>
      <w:szCs w:val="22"/>
      <w:lang w:bidi="ar-SA"/>
    </w:rPr>
  </w:style>
  <w:style w:type="character" w:customStyle="1" w:styleId="Heading7Char">
    <w:name w:val="Heading 7 Char"/>
    <w:basedOn w:val="DefaultParagraphFont"/>
    <w:link w:val="Heading7"/>
    <w:rsid w:val="004D0CFD"/>
    <w:rPr>
      <w:sz w:val="22"/>
      <w:szCs w:val="22"/>
      <w:lang w:bidi="ar-SA"/>
    </w:rPr>
  </w:style>
  <w:style w:type="character" w:customStyle="1" w:styleId="Heading8Char">
    <w:name w:val="Heading 8 Char"/>
    <w:basedOn w:val="DefaultParagraphFont"/>
    <w:link w:val="Heading8"/>
    <w:rsid w:val="004D0CFD"/>
    <w:rPr>
      <w:sz w:val="22"/>
      <w:szCs w:val="22"/>
      <w:lang w:bidi="ar-SA"/>
    </w:rPr>
  </w:style>
  <w:style w:type="character" w:customStyle="1" w:styleId="Heading9Char">
    <w:name w:val="Heading 9 Char"/>
    <w:basedOn w:val="DefaultParagraphFont"/>
    <w:link w:val="Heading9"/>
    <w:rsid w:val="004D0CFD"/>
    <w:rPr>
      <w:sz w:val="22"/>
      <w:szCs w:val="22"/>
      <w:lang w:bidi="ar-SA"/>
    </w:rPr>
  </w:style>
  <w:style w:type="paragraph" w:styleId="Footer">
    <w:name w:val="footer"/>
    <w:basedOn w:val="Normal"/>
    <w:link w:val="FooterChar"/>
    <w:qFormat/>
    <w:rsid w:val="004D0CFD"/>
  </w:style>
  <w:style w:type="character" w:customStyle="1" w:styleId="FooterChar">
    <w:name w:val="Footer Char"/>
    <w:basedOn w:val="DefaultParagraphFont"/>
    <w:link w:val="Footer"/>
    <w:rsid w:val="004D0CFD"/>
    <w:rPr>
      <w:sz w:val="22"/>
      <w:szCs w:val="22"/>
      <w:lang w:bidi="ar-SA"/>
    </w:rPr>
  </w:style>
  <w:style w:type="paragraph" w:styleId="FootnoteText">
    <w:name w:val="footnote text"/>
    <w:basedOn w:val="Normal"/>
    <w:link w:val="FootnoteTextChar"/>
    <w:qFormat/>
    <w:rsid w:val="004D0CFD"/>
    <w:pPr>
      <w:keepLines/>
      <w:spacing w:after="60" w:line="240" w:lineRule="auto"/>
      <w:ind w:left="567" w:hanging="567"/>
    </w:pPr>
    <w:rPr>
      <w:sz w:val="16"/>
    </w:rPr>
  </w:style>
  <w:style w:type="character" w:customStyle="1" w:styleId="FootnoteTextChar">
    <w:name w:val="Footnote Text Char"/>
    <w:basedOn w:val="DefaultParagraphFont"/>
    <w:link w:val="FootnoteText"/>
    <w:rsid w:val="004D0CFD"/>
    <w:rPr>
      <w:sz w:val="16"/>
      <w:szCs w:val="22"/>
      <w:lang w:bidi="ar-SA"/>
    </w:rPr>
  </w:style>
  <w:style w:type="paragraph" w:styleId="Header">
    <w:name w:val="header"/>
    <w:basedOn w:val="Normal"/>
    <w:link w:val="HeaderChar"/>
    <w:qFormat/>
    <w:rsid w:val="004D0CFD"/>
  </w:style>
  <w:style w:type="character" w:customStyle="1" w:styleId="HeaderChar">
    <w:name w:val="Header Char"/>
    <w:basedOn w:val="DefaultParagraphFont"/>
    <w:link w:val="Header"/>
    <w:rsid w:val="004D0CFD"/>
    <w:rPr>
      <w:sz w:val="22"/>
      <w:szCs w:val="22"/>
      <w:lang w:bidi="ar-SA"/>
    </w:rPr>
  </w:style>
  <w:style w:type="paragraph" w:customStyle="1" w:styleId="quotes">
    <w:name w:val="quotes"/>
    <w:basedOn w:val="Normal"/>
    <w:next w:val="Normal"/>
    <w:rsid w:val="004D0CFD"/>
    <w:pPr>
      <w:ind w:left="720"/>
    </w:pPr>
    <w:rPr>
      <w:i/>
    </w:rPr>
  </w:style>
  <w:style w:type="character" w:styleId="FootnoteReference">
    <w:name w:val="footnote reference"/>
    <w:basedOn w:val="DefaultParagraphFont"/>
    <w:unhideWhenUsed/>
    <w:qFormat/>
    <w:rsid w:val="004D0CFD"/>
    <w:rPr>
      <w:sz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CTJJHAUHWN5E-644613129-2905</_dlc_DocId>
    <_dlc_DocIdUrl xmlns="bfc960a6-20da-4c94-8684-71380fca093b">
      <Url>http://dm2016/eesc/2019/_layouts/15/DocIdRedir.aspx?ID=CTJJHAUHWN5E-644613129-2905</Url>
      <Description>CTJJHAUHWN5E-644613129-2905</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2019-12-10T12:00:00+00:00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162</Value>
      <Value>72</Value>
      <Value>246</Value>
      <Value>154</Value>
      <Value>64</Value>
      <Value>152</Value>
      <Value>62</Value>
      <Value>60</Value>
      <Value>59</Value>
      <Value>63</Value>
      <Value>56</Value>
      <Value>55</Value>
      <Value>52</Value>
      <Value>49</Value>
      <Value>48</Value>
      <Value>46</Value>
      <Value>45</Value>
      <Value>38</Value>
      <Value>65</Value>
      <Value>153</Value>
      <Value>25</Value>
      <Value>21</Value>
      <Value>58</Value>
      <Value>17</Value>
      <Value>16</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HR</TermName>
          <TermId xmlns="http://schemas.microsoft.com/office/infopath/2007/PartnerControls">2f555653-ed1a-4fe6-8362-9082d95989e5</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11388</FicheNumber>
    <DocumentPart xmlns="bfc960a6-20da-4c94-8684-71380fca093b">5</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2CAD70-0CDA-426C-A32E-DD0F7BE03816}"/>
</file>

<file path=customXml/itemProps2.xml><?xml version="1.0" encoding="utf-8"?>
<ds:datastoreItem xmlns:ds="http://schemas.openxmlformats.org/officeDocument/2006/customXml" ds:itemID="{27A56BC9-ADE2-4D7E-A490-0533861DFBFB}"/>
</file>

<file path=customXml/itemProps3.xml><?xml version="1.0" encoding="utf-8"?>
<ds:datastoreItem xmlns:ds="http://schemas.openxmlformats.org/officeDocument/2006/customXml" ds:itemID="{8C9BC9D0-3522-4F60-AA92-683FFB951AE0}"/>
</file>

<file path=customXml/itemProps4.xml><?xml version="1.0" encoding="utf-8"?>
<ds:datastoreItem xmlns:ds="http://schemas.openxmlformats.org/officeDocument/2006/customXml" ds:itemID="{E4950D65-F678-4BF4-A12A-E470E706E884}"/>
</file>

<file path=docProps/app.xml><?xml version="1.0" encoding="utf-8"?>
<Properties xmlns="http://schemas.openxmlformats.org/officeDocument/2006/extended-properties" xmlns:vt="http://schemas.openxmlformats.org/officeDocument/2006/docPropsVTypes">
  <Template>Styles.dotm</Template>
  <TotalTime>0</TotalTime>
  <Pages>2</Pages>
  <Words>1232</Words>
  <Characters>7026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8242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radni dokument - skupina 6A - Razvijene zemlje</dc:title>
  <dc:creator>Vecko Stanko</dc:creator>
  <cp:keywords>EESC-2019-05163-05-00-INFO-TRA-EN</cp:keywords>
  <dc:description>Rapporteur:  - Original language: EN - Date of document: 10/12/2019 - Date of meeting:  - External documents:  - Administrator: MME LAHOUSSE Chloé</dc:description>
  <cp:lastModifiedBy>Stanko Vecko</cp:lastModifiedBy>
  <cp:revision>2</cp:revision>
  <dcterms:created xsi:type="dcterms:W3CDTF">2019-12-10T09:30:00Z</dcterms:created>
  <dcterms:modified xsi:type="dcterms:W3CDTF">2019-12-10T09:30:00Z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11:50:56, 11:31:01</vt:lpwstr>
  </property>
  <property fmtid="{D5CDD505-2E9C-101B-9397-08002B2CF9AE}" pid="5" name="Pref_User">
    <vt:lpwstr>hnic, ssex</vt:lpwstr>
  </property>
  <property fmtid="{D5CDD505-2E9C-101B-9397-08002B2CF9AE}" pid="6" name="Pref_FileName">
    <vt:lpwstr>EESC-2019-05163-05-00-INFO-TRA-EN-CRR.docx, EESC-2019-05163-05-00-INFO-ORI.docx</vt:lpwstr>
  </property>
  <property fmtid="{D5CDD505-2E9C-101B-9397-08002B2CF9AE}" pid="7" name="ContentTypeId">
    <vt:lpwstr>0x010100EA97B91038054C99906057A708A1480A004A07B7D2C585754B97D3BEF52E07EE2D</vt:lpwstr>
  </property>
  <property fmtid="{D5CDD505-2E9C-101B-9397-08002B2CF9AE}" pid="8" name="_dlc_DocIdItemGuid">
    <vt:lpwstr>491c29a9-3788-492b-aa5b-94f88a5ad921</vt:lpwstr>
  </property>
  <property fmtid="{D5CDD505-2E9C-101B-9397-08002B2CF9AE}" pid="9" name="AvailableTranslations">
    <vt:lpwstr>63;#MT|7df99101-6854-4a26-b53a-b88c0da02c26;#152;#MK|34ce48bb-063e-4413-a932-50853dc71c5c;#162;#TR|6e4ededd-04c4-4fa0-94e0-1028050302d5;#64;#PT|50ccc04a-eadd-42ae-a0cb-acaf45f812ba;#16;#PL|1e03da61-4678-4e07-b136-b5024ca9197b;#25;#SK|46d9fce0-ef79-4f71-b89b-cd6aa82426b8;#62;#FI|87606a43-d45f-42d6-b8c9-e1a3457db5b7;#72;#GA|762d2456-c427-4ecb-b312-af3dad8e258c;#58;#LV|46f7e311-5d9f-4663-b433-18aeccb7ace7;#65;#ET|ff6c3f4c-b02c-4c3c-ab07-2c37995a7a0a;#14;#DE|f6b31e5a-26fa-4935-b661-318e46daf27e;#154;#SQ|5ac17240-8d11-45ec-9893-659b209d7a00;#46;#CS|72f9705b-0217-4fd3-bea2-cbc7ed80e26e;#48;#LT|a7ff5ce7-6123-4f68-865a-a57c31810414;#56;#SL|98a412ae-eb01-49e9-ae3d-585a81724cfc;#4;#EN|f2175f21-25d7-44a3-96da-d6a61b075e1b;#59;#HR|2f555653-ed1a-4fe6-8362-9082d95989e5;#52;#DA|5d49c027-8956-412b-aa16-e85a0f96ad0e;#10;#FR|d2afafd3-4c81-4f60-8f52-ee33f2f54ff3;#49;#EL|6d4f4d51-af9b-4650-94b4-4276bee85c91;#45;#NL|55c6556c-b4f4-441d-9acf-c498d4f838bd;#17;#ES|e7a6b05b-ae16-40c8-add9-68b64b03aeba;#153;#SR|7f3a1d13-b985-4bfd-981e-afe31377edff;#55;#BG|1a1b3951-7821-4e6a-85f5-5673fc08bd2c;#38;#SV|c2ed69e7-a339-43d7-8f22-d93680a92aa0;#246;#ME|925b3da5-5ac0-4b3c-928c-6ef66a5c9b3c;#21;#IT|0774613c-01ed-4e5d-a25d-11d2388de825;#60;#HU|6b229040-c589-4408-b4c1-4285663d20a8</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5</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T|7df99101-6854-4a26-b53a-b88c0da02c26;MK|34ce48bb-063e-4413-a932-50853dc71c5c;TR|6e4ededd-04c4-4fa0-94e0-1028050302d5;PT|50ccc04a-eadd-42ae-a0cb-acaf45f812ba;PL|1e03da61-4678-4e07-b136-b5024ca9197b;SK|46d9fce0-ef79-4f71-b89b-cd6aa82426b8;FI|87606a43-d45f-42d6-b8c9-e1a3457db5b7;SQ|5ac17240-8d11-45ec-9893-659b209d7a00;SL|98a412ae-eb01-49e9-ae3d-585a81724cfc;EN|f2175f21-25d7-44a3-96da-d6a61b075e1b;DA|5d49c027-8956-412b-aa16-e85a0f96ad0e;FR|d2afafd3-4c81-4f60-8f52-ee33f2f54ff3;EL|6d4f4d51-af9b-4650-94b4-4276bee85c91;NL|55c6556c-b4f4-441d-9acf-c498d4f838bd;ES|e7a6b05b-ae16-40c8-add9-68b64b03aeba;SR|7f3a1d13-b985-4bfd-981e-afe31377edff;BG|1a1b3951-7821-4e6a-85f5-5673fc08bd2c;ME|925b3da5-5ac0-4b3c-928c-6ef66a5c9b3c;IT|0774613c-01ed-4e5d-a25d-11d2388de825</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153;#SR|7f3a1d13-b985-4bfd-981e-afe31377edff;#64;#PT|50ccc04a-eadd-42ae-a0cb-acaf45f812ba;#63;#MT|7df99101-6854-4a26-b53a-b88c0da02c26;#25;#SK|46d9fce0-ef79-4f71-b89b-cd6aa82426b8;#246;#ME|925b3da5-5ac0-4b3c-928c-6ef66a5c9b3c;#62;#FI|87606a43-d45f-42d6-b8c9-e1a3457db5b7;#152;#MK|34ce48bb-063e-4413-a932-50853dc71c5c;#56;#SL|98a412ae-eb01-49e9-ae3d-585a81724cfc;#55;#BG|1a1b3951-7821-4e6a-85f5-5673fc08bd2c;#17;#ES|e7a6b05b-ae16-40c8-add9-68b64b03aeba;#16;#PL|1e03da61-4678-4e07-b136-b5024ca9197b;#52;#DA|5d49c027-8956-412b-aa16-e85a0f96ad0e;#162;#TR|6e4ededd-04c4-4fa0-94e0-1028050302d5;#49;#EL|6d4f4d51-af9b-4650-94b4-4276bee85c91;#11;#INFO|d9136e7c-93a9-4c42-9d28-92b61e85f80c;#10;#FR|d2afafd3-4c81-4f60-8f52-ee33f2f54ff3;#21;#IT|0774613c-01ed-4e5d-a25d-11d2388de825;#45;#NL|55c6556c-b4f4-441d-9acf-c498d4f838bd;#7;#Final|ea5e6674-7b27-4bac-b091-73adbb394efe;#154;#SQ|5ac17240-8d11-45ec-9893-659b209d7a00;#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11388</vt:i4>
  </property>
  <property fmtid="{D5CDD505-2E9C-101B-9397-08002B2CF9AE}" pid="37" name="DocumentLanguage">
    <vt:lpwstr>59;#HR|2f555653-ed1a-4fe6-8362-9082d95989e5</vt:lpwstr>
  </property>
</Properties>
</file>